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[Firm name] — Responsible AI Use Policy</w:t>
      </w:r>
    </w:p>
    <w:p>
      <w:pPr>
        <w:spacing w:after="140"/>
      </w:pPr>
      <w:r>
        <w:rPr>
          <w:i/>
          <w:iCs/>
          <w:color w:val="5A6B7F"/>
          <w:sz w:val="22"/>
          <w:szCs w:val="22"/>
        </w:rPr>
        <w:t xml:space="preserve">Version [x.x] · Approved by [name, role] · Date [date] · Next review [date — the firm's AI risk register must be reviewed at least quarterly; review this policy on the same rhythm or at least annually]</w:t>
      </w:r>
    </w:p>
    <w:p>
      <w:pPr>
        <w:spacing w:after="140"/>
      </w:pPr>
      <w:r>
        <w:rPr>
          <w:sz w:val="22"/>
          <w:szCs w:val="22"/>
        </w:rPr>
        <w:t xml:space="preserve">This policy sets out how [Firm name] uses artificial intelligence in the delivery of surveying services, in line with the RICS professional standard, Responsible use of artificial intelligence in surveying practice (effective 9 March 2026). It doubles as the firm's standing written assessment of why AI is an appropriate tool for the uses listed.</w:t>
      </w:r>
    </w:p>
    <w:p>
      <w:pPr>
        <w:pStyle w:val="Heading2"/>
      </w:pPr>
      <w:r>
        <w:t xml:space="preserve">1. Scope and definitions</w:t>
      </w:r>
    </w:p>
    <w:p>
      <w:pPr>
        <w:spacing w:after="140"/>
      </w:pPr>
      <w:r>
        <w:rPr>
          <w:i/>
          <w:iCs/>
          <w:color w:val="8A94A6"/>
          <w:sz w:val="22"/>
          <w:szCs w:val="22"/>
        </w:rPr>
        <w:t xml:space="preserve">[Define what counts as an AI system for the firm — including AI embedded in other software, free tools, and personal-account use on firm work. State who the policy applies to.]</w:t>
      </w:r>
    </w:p>
    <w:p>
      <w:pPr>
        <w:pStyle w:val="Heading2"/>
      </w:pPr>
      <w:r>
        <w:t xml:space="preserve">2. Approved tools and adoption route</w:t>
      </w:r>
    </w:p>
    <w:p>
      <w:pPr>
        <w:spacing w:after="140"/>
      </w:pPr>
      <w:r>
        <w:rPr>
          <w:i/>
          <w:iCs/>
          <w:color w:val="8A94A6"/>
          <w:sz w:val="22"/>
          <w:szCs w:val="22"/>
        </w:rPr>
        <w:t xml:space="preserve">[Point to the firm's AI systems register as the live list of approved tools: system, purpose, date first used, next review date. Describe how a new tool is proposed, assessed (see s.5), logged and approved — and make clear that unlisted tools must not be used on client work.]</w:t>
      </w:r>
    </w:p>
    <w:p>
      <w:pPr>
        <w:pStyle w:val="Heading2"/>
      </w:pPr>
      <w:r>
        <w:t xml:space="preserve">3. Appropriateness of AI (standing assessment)</w:t>
      </w:r>
    </w:p>
    <w:p>
      <w:pPr>
        <w:spacing w:after="140"/>
      </w:pPr>
      <w:r>
        <w:rPr>
          <w:i/>
          <w:iCs/>
          <w:color w:val="8A94A6"/>
          <w:sz w:val="22"/>
          <w:szCs w:val="22"/>
        </w:rPr>
        <w:t xml:space="preserve">[For each surveying service, record: what AI is used for, why AI is the most appropriate tool, and the alternatives considered — with explicit reference to data risks, the risk of erroneous output and bias, and environmental and stakeholder impact information for the tools considered.]</w:t>
      </w:r>
    </w:p>
    <w:p>
      <w:pPr>
        <w:pStyle w:val="Heading2"/>
      </w:pPr>
      <w:r>
        <w:t xml:space="preserve">4. The materiality decision</w:t>
      </w:r>
    </w:p>
    <w:p>
      <w:pPr>
        <w:spacing w:after="140"/>
      </w:pPr>
      <w:r>
        <w:rPr>
          <w:i/>
          <w:iCs/>
          <w:color w:val="8A94A6"/>
          <w:sz w:val="22"/>
          <w:szCs w:val="22"/>
        </w:rPr>
        <w:t xml:space="preserve">[State who decides whether an AI use is material on each instruction (normally the responsible surveyor), the test applied, and where the decision AND the reasoning are recorded. Note that material determinations must be recorded with reasoning.]</w:t>
      </w:r>
    </w:p>
    <w:p>
      <w:pPr>
        <w:pStyle w:val="Heading2"/>
      </w:pPr>
      <w:r>
        <w:t xml:space="preserve">5. Procurement and due diligence</w:t>
      </w:r>
    </w:p>
    <w:p>
      <w:pPr>
        <w:spacing w:after="140"/>
      </w:pPr>
      <w:r>
        <w:rPr>
          <w:i/>
          <w:iCs/>
          <w:color w:val="8A94A6"/>
          <w:sz w:val="22"/>
          <w:szCs w:val="22"/>
        </w:rPr>
        <w:t xml:space="preserve">[Describe the written due-diligence process for materially-impacting tools: the six written information requests (environmental impact; development stakeholders; data/confidentiality law compliance; permissions for personal data; training-data accuracy and bias; supplier liability), fitness-for-purpose testing records, and how information gaps are carried to the risk register.]</w:t>
      </w:r>
    </w:p>
    <w:p>
      <w:pPr>
        <w:pStyle w:val="Heading2"/>
      </w:pPr>
      <w:r>
        <w:t xml:space="preserve">6. Client communication and terms of engagement</w:t>
      </w:r>
    </w:p>
    <w:p>
      <w:pPr>
        <w:spacing w:after="140"/>
      </w:pPr>
      <w:r>
        <w:rPr>
          <w:i/>
          <w:iCs/>
          <w:color w:val="8A94A6"/>
          <w:sz w:val="22"/>
          <w:szCs w:val="22"/>
        </w:rPr>
        <w:t xml:space="preserve">[State the rule: clients are told in writing, in advance, when and for what purpose AI will be used where the use is material. Reference the client notice template and the six items the firm's terms of engagement cover: when AI is involved; which parts of the process; PI cover, if available; the process to contest AI use; the redress process; and the opt-out position.]</w:t>
      </w:r>
    </w:p>
    <w:p>
      <w:pPr>
        <w:pStyle w:val="Heading2"/>
      </w:pPr>
      <w:r>
        <w:t xml:space="preserve">7. Human review of outputs</w:t>
      </w:r>
    </w:p>
    <w:p>
      <w:pPr>
        <w:spacing w:after="140"/>
      </w:pPr>
      <w:r>
        <w:rPr>
          <w:i/>
          <w:iCs/>
          <w:color w:val="8A94A6"/>
          <w:sz w:val="22"/>
          <w:szCs w:val="22"/>
        </w:rPr>
        <w:t xml:space="preserve">[Describe how reliability decisions on material AI outputs are made and documented in writing by, or under the supervision of, an appropriately qualified NAMED surveyor — including assumptions, concerns, mitigations and the usability conclusion. Cover dip-sampling arrangements for automated or high-volume outputs, and the duty to notify clients in writing where an output cannot reasonably be used.]</w:t>
      </w:r>
    </w:p>
    <w:p>
      <w:pPr>
        <w:pStyle w:val="Heading2"/>
      </w:pPr>
      <w:r>
        <w:t xml:space="preserve">8. Risk management</w:t>
      </w:r>
    </w:p>
    <w:p>
      <w:pPr>
        <w:spacing w:after="140"/>
      </w:pPr>
      <w:r>
        <w:rPr>
          <w:i/>
          <w:iCs/>
          <w:color w:val="8A94A6"/>
          <w:sz w:val="22"/>
          <w:szCs w:val="22"/>
        </w:rPr>
        <w:t xml:space="preserve">[Point to the AI risk register: the risks it must cover (bias, erroneous output, information limits, input-data retention/use), the fields per entry (description, likelihood, impact, mitigation, appetite, status, RAG rating), its owner, and the at-least-quarterly review by those responsible for AI decisions.]</w:t>
      </w:r>
    </w:p>
    <w:p>
      <w:pPr>
        <w:pStyle w:val="Heading2"/>
      </w:pPr>
      <w:r>
        <w:t xml:space="preserve">9. Data rules</w:t>
      </w:r>
    </w:p>
    <w:p>
      <w:pPr>
        <w:spacing w:after="140"/>
      </w:pPr>
      <w:r>
        <w:rPr>
          <w:i/>
          <w:iCs/>
          <w:color w:val="8A94A6"/>
          <w:sz w:val="22"/>
          <w:szCs w:val="22"/>
        </w:rPr>
        <w:t xml:space="preserve">[Set out what may and may not be entered into which tools — client-identifying information, commercially sensitive data, personal data — aligned with the firm's data-protection obligations and each tool's verified current terms.]</w:t>
      </w:r>
    </w:p>
    <w:p>
      <w:pPr>
        <w:pStyle w:val="Heading2"/>
      </w:pPr>
      <w:r>
        <w:t xml:space="preserve">10. Knowledge and training</w:t>
      </w:r>
    </w:p>
    <w:p>
      <w:pPr>
        <w:spacing w:after="140"/>
      </w:pPr>
      <w:r>
        <w:rPr>
          <w:i/>
          <w:iCs/>
          <w:color w:val="8A94A6"/>
          <w:sz w:val="22"/>
          <w:szCs w:val="22"/>
        </w:rPr>
        <w:t xml:space="preserve">[Record how the firm maintains the baseline knowledge the standard requires of AI users: types of AI and how they work, limitations and failure modes, error and bias risks, and data risks — e.g. induction, CPD, refreshers, with attendance recorded.]</w:t>
      </w:r>
    </w:p>
    <w:p>
      <w:pPr>
        <w:pStyle w:val="Heading2"/>
      </w:pPr>
      <w:r>
        <w:t xml:space="preserve">11. Breaches and review</w:t>
      </w:r>
    </w:p>
    <w:p>
      <w:pPr>
        <w:spacing w:after="140"/>
      </w:pPr>
      <w:r>
        <w:rPr>
          <w:i/>
          <w:iCs/>
          <w:color w:val="8A94A6"/>
          <w:sz w:val="22"/>
          <w:szCs w:val="22"/>
        </w:rPr>
        <w:t xml:space="preserve">[State how departures from this policy are reported and handled, and how incidents involving AI are logged. Record the policy owner and the review cycle.]</w:t>
      </w:r>
    </w:p>
    <w:p>
      <w:pPr>
        <w:spacing w:before="260"/>
      </w:pPr>
      <w:r>
        <w:rPr>
          <w:i/>
          <w:iCs/>
          <w:color w:val="5A6B7F"/>
          <w:sz w:val="19"/>
          <w:szCs w:val="19"/>
        </w:rPr>
        <w:t xml:space="preserve">Template provided by ComplyQS (complyqs.co.uk) as general information, not legal or professional advice — adapt it to your firm's circumstances and have client-facing wording reviewed. ComplyQS is not affiliated with or endorsed by RICS.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480" w:hanging="240"/>
      </w:pPr>
    </w:lvl>
  </w:abstractNum>
  <w:abstractNum w:abstractNumId="3" w15:restartNumberingAfterBreak="0">
    <w:multiLevelType w:val="hybridMultilevel"/>
    <w:lvl w:ilvl="0" w15:tentative="1">
      <w:start w:val="1"/>
      <w:numFmt w:val="bullet"/>
      <w:lvlText w:val="•"/>
      <w:lvlJc w:val="left"/>
      <w:pPr>
        <w:ind w:left="480" w:hanging="24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40"/>
      <w:outlineLvl w:val="0"/>
    </w:pPr>
    <w:rPr>
      <w:rFonts w:ascii="Arial" w:cs="Arial" w:eastAsia="Arial" w:hAnsi="Arial"/>
      <w:b/>
      <w:bCs/>
      <w:color w:val="0E1D33"/>
      <w:sz w:val="30"/>
      <w:szCs w:val="30"/>
    </w:rPr>
  </w:style>
  <w:style w:type="paragraph" w:styleId="Heading2">
    <w:name w:val="Heading 2"/>
    <w:basedOn w:val="Normal"/>
    <w:next w:val="Normal"/>
    <w:qFormat/>
    <w:pPr>
      <w:spacing w:after="60" w:before="280"/>
      <w:outlineLvl w:val="1"/>
    </w:pPr>
    <w:rPr>
      <w:rFonts w:ascii="Arial" w:cs="Arial" w:eastAsia="Arial" w:hAnsi="Arial"/>
      <w:b/>
      <w:bCs/>
      <w:color w:val="1B4B8F"/>
      <w:sz w:val="25"/>
      <w:szCs w:val="25"/>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2026-07-06T16:33:05.032Z</dcterms:created>
  <dcterms:modified xsi:type="dcterms:W3CDTF">2026-07-06T16:33:05.032Z</dcterms:modified>
</cp:coreProperties>
</file>

<file path=docProps/custom.xml><?xml version="1.0" encoding="utf-8"?>
<Properties xmlns="http://schemas.openxmlformats.org/officeDocument/2006/custom-properties" xmlns:vt="http://schemas.openxmlformats.org/officeDocument/2006/docPropsVTypes"/>
</file>